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3B3" w:rsidRPr="00D35637" w:rsidRDefault="00FA63B3" w:rsidP="00FA63B3">
      <w:pPr>
        <w:tabs>
          <w:tab w:val="left" w:pos="5103"/>
        </w:tabs>
        <w:autoSpaceDE w:val="0"/>
        <w:autoSpaceDN w:val="0"/>
        <w:adjustRightInd w:val="0"/>
        <w:ind w:right="-143"/>
        <w:jc w:val="center"/>
        <w:rPr>
          <w:rFonts w:ascii="Times New Roman" w:hAnsi="Times New Roman"/>
          <w:b/>
          <w:bCs/>
        </w:rPr>
      </w:pPr>
      <w:r w:rsidRPr="00D35637">
        <w:rPr>
          <w:rFonts w:ascii="Times New Roman" w:hAnsi="Times New Roman"/>
          <w:b/>
          <w:bCs/>
        </w:rPr>
        <w:t>Информация о лице, привлекающем инвестиции и его Инвестиционном предложении</w:t>
      </w:r>
    </w:p>
    <w:p w:rsidR="00FA63B3" w:rsidRPr="00D35637" w:rsidRDefault="00FA63B3" w:rsidP="00FA63B3">
      <w:pPr>
        <w:tabs>
          <w:tab w:val="left" w:pos="5103"/>
        </w:tabs>
        <w:autoSpaceDE w:val="0"/>
        <w:autoSpaceDN w:val="0"/>
        <w:adjustRightInd w:val="0"/>
        <w:ind w:right="-143"/>
        <w:jc w:val="center"/>
        <w:rPr>
          <w:rFonts w:ascii="Times New Roman" w:hAnsi="Times New Roman"/>
          <w:bCs/>
        </w:rPr>
      </w:pPr>
      <w:r w:rsidRPr="00D35637">
        <w:rPr>
          <w:rFonts w:ascii="Times New Roman" w:hAnsi="Times New Roman"/>
          <w:bCs/>
        </w:rPr>
        <w:t>(</w:t>
      </w:r>
      <w:r w:rsidRPr="00D35637">
        <w:rPr>
          <w:rFonts w:ascii="Times New Roman" w:hAnsi="Times New Roman"/>
          <w:bCs/>
          <w:i/>
        </w:rPr>
        <w:t>является приложением к Инвестиционному предложению и неотъемлемой частью инвестиционного</w:t>
      </w:r>
      <w:bookmarkStart w:id="0" w:name="_GoBack"/>
      <w:bookmarkEnd w:id="0"/>
      <w:r w:rsidRPr="00D35637">
        <w:rPr>
          <w:rFonts w:ascii="Times New Roman" w:hAnsi="Times New Roman"/>
          <w:bCs/>
          <w:i/>
        </w:rPr>
        <w:t xml:space="preserve"> предложения</w:t>
      </w:r>
      <w:r w:rsidRPr="00D35637">
        <w:rPr>
          <w:rFonts w:ascii="Times New Roman" w:hAnsi="Times New Roman"/>
          <w:bCs/>
        </w:rPr>
        <w:t>)</w:t>
      </w:r>
    </w:p>
    <w:p w:rsidR="00FA63B3" w:rsidRPr="00D35637" w:rsidRDefault="00FA63B3" w:rsidP="00FA63B3">
      <w:pPr>
        <w:tabs>
          <w:tab w:val="left" w:pos="5103"/>
        </w:tabs>
        <w:autoSpaceDE w:val="0"/>
        <w:autoSpaceDN w:val="0"/>
        <w:adjustRightInd w:val="0"/>
        <w:jc w:val="center"/>
        <w:rPr>
          <w:rFonts w:ascii="Times New Roman" w:hAnsi="Times New Roman"/>
          <w:bCs/>
        </w:rPr>
      </w:pPr>
    </w:p>
    <w:tbl>
      <w:tblPr>
        <w:tblStyle w:val="a4"/>
        <w:tblW w:w="10447" w:type="dxa"/>
        <w:tblInd w:w="-151" w:type="dxa"/>
        <w:tblLook w:val="04A0" w:firstRow="1" w:lastRow="0" w:firstColumn="1" w:lastColumn="0" w:noHBand="0" w:noVBand="1"/>
      </w:tblPr>
      <w:tblGrid>
        <w:gridCol w:w="475"/>
        <w:gridCol w:w="3730"/>
        <w:gridCol w:w="6242"/>
      </w:tblGrid>
      <w:tr w:rsidR="00FA63B3" w:rsidRPr="00D35637" w:rsidTr="00B16711">
        <w:tc>
          <w:tcPr>
            <w:tcW w:w="10447" w:type="dxa"/>
            <w:gridSpan w:val="3"/>
            <w:shd w:val="clear" w:color="auto" w:fill="E7E6E6" w:themeFill="background2"/>
          </w:tcPr>
          <w:p w:rsidR="00FA63B3" w:rsidRPr="00D35637" w:rsidRDefault="00FA63B3" w:rsidP="00B16711">
            <w:pPr>
              <w:tabs>
                <w:tab w:val="left" w:pos="5103"/>
              </w:tabs>
              <w:autoSpaceDE w:val="0"/>
              <w:autoSpaceDN w:val="0"/>
              <w:adjustRightInd w:val="0"/>
              <w:jc w:val="center"/>
              <w:rPr>
                <w:rFonts w:ascii="Times New Roman" w:hAnsi="Times New Roman"/>
                <w:b/>
                <w:bCs/>
              </w:rPr>
            </w:pPr>
            <w:r w:rsidRPr="00D35637">
              <w:rPr>
                <w:rFonts w:ascii="Times New Roman" w:hAnsi="Times New Roman"/>
                <w:b/>
                <w:bCs/>
              </w:rPr>
              <w:t>Информация о Лице, привлекающем инвестиции</w:t>
            </w:r>
          </w:p>
        </w:tc>
      </w:tr>
      <w:tr w:rsidR="00FA63B3" w:rsidRPr="00D35637" w:rsidTr="00B16711">
        <w:tc>
          <w:tcPr>
            <w:tcW w:w="4205" w:type="dxa"/>
            <w:gridSpan w:val="2"/>
          </w:tcPr>
          <w:p w:rsidR="00FA63B3" w:rsidRPr="00D35637" w:rsidRDefault="00FA63B3" w:rsidP="00B16711">
            <w:pPr>
              <w:tabs>
                <w:tab w:val="left" w:pos="5103"/>
              </w:tabs>
              <w:autoSpaceDE w:val="0"/>
              <w:autoSpaceDN w:val="0"/>
              <w:adjustRightInd w:val="0"/>
              <w:jc w:val="center"/>
              <w:rPr>
                <w:rStyle w:val="10pt0pt"/>
                <w:rFonts w:eastAsiaTheme="minorHAnsi"/>
                <w:b/>
                <w:iCs/>
              </w:rPr>
            </w:pPr>
            <w:r w:rsidRPr="00D35637">
              <w:rPr>
                <w:rStyle w:val="10pt0pt"/>
                <w:rFonts w:eastAsiaTheme="minorHAnsi"/>
                <w:b/>
                <w:bCs/>
                <w:iCs/>
              </w:rPr>
              <w:t>Вид информации</w:t>
            </w:r>
          </w:p>
        </w:tc>
        <w:tc>
          <w:tcPr>
            <w:tcW w:w="6242" w:type="dxa"/>
          </w:tcPr>
          <w:p w:rsidR="00FA63B3" w:rsidRPr="00D35637" w:rsidRDefault="00FA63B3" w:rsidP="00B16711">
            <w:pPr>
              <w:tabs>
                <w:tab w:val="left" w:pos="5103"/>
              </w:tabs>
              <w:autoSpaceDE w:val="0"/>
              <w:autoSpaceDN w:val="0"/>
              <w:adjustRightInd w:val="0"/>
              <w:jc w:val="center"/>
              <w:rPr>
                <w:rStyle w:val="10pt0pt"/>
                <w:rFonts w:eastAsiaTheme="minorHAnsi"/>
                <w:b/>
                <w:iCs/>
              </w:rPr>
            </w:pPr>
            <w:r w:rsidRPr="00D35637">
              <w:rPr>
                <w:rStyle w:val="10pt0pt"/>
                <w:rFonts w:eastAsiaTheme="minorHAnsi"/>
                <w:b/>
                <w:bCs/>
                <w:iCs/>
              </w:rPr>
              <w:t>Требования к содержанию информации</w:t>
            </w:r>
          </w:p>
        </w:tc>
      </w:tr>
      <w:tr w:rsidR="00FA63B3" w:rsidRPr="00D35637" w:rsidTr="00B16711">
        <w:tc>
          <w:tcPr>
            <w:tcW w:w="10447" w:type="dxa"/>
            <w:gridSpan w:val="3"/>
            <w:shd w:val="clear" w:color="auto" w:fill="E7E6E6" w:themeFill="background2"/>
          </w:tcPr>
          <w:p w:rsidR="00FA63B3" w:rsidRPr="00D35637" w:rsidRDefault="00FA63B3" w:rsidP="00B16711">
            <w:pPr>
              <w:tabs>
                <w:tab w:val="left" w:pos="5103"/>
              </w:tabs>
              <w:autoSpaceDE w:val="0"/>
              <w:autoSpaceDN w:val="0"/>
              <w:adjustRightInd w:val="0"/>
              <w:jc w:val="center"/>
              <w:rPr>
                <w:rStyle w:val="10pt0pt"/>
                <w:rFonts w:eastAsiaTheme="minorHAnsi"/>
              </w:rPr>
            </w:pPr>
            <w:r w:rsidRPr="00D35637">
              <w:rPr>
                <w:rStyle w:val="10pt0pt"/>
                <w:rFonts w:eastAsiaTheme="minorHAnsi"/>
                <w:b/>
                <w:bCs/>
                <w:i/>
                <w:iCs/>
              </w:rPr>
              <w:t>ДЛЯ ЮРИДИЧЕСКОГО ЛИЦА (Эмитент)</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1.</w:t>
            </w:r>
          </w:p>
        </w:tc>
        <w:tc>
          <w:tcPr>
            <w:tcW w:w="3730" w:type="dxa"/>
          </w:tcPr>
          <w:p w:rsidR="00FA63B3" w:rsidRPr="00D35637" w:rsidRDefault="00FA63B3" w:rsidP="00B16711">
            <w:pPr>
              <w:tabs>
                <w:tab w:val="left" w:pos="5103"/>
              </w:tabs>
              <w:autoSpaceDE w:val="0"/>
              <w:autoSpaceDN w:val="0"/>
              <w:adjustRightInd w:val="0"/>
              <w:rPr>
                <w:rFonts w:ascii="Times New Roman" w:hAnsi="Times New Roman"/>
                <w:bCs/>
              </w:rPr>
            </w:pPr>
            <w:r w:rsidRPr="00D35637">
              <w:rPr>
                <w:rStyle w:val="10pt0pt"/>
                <w:rFonts w:eastAsiaTheme="minorHAnsi"/>
              </w:rPr>
              <w:t>Полное наименование эмитента</w:t>
            </w:r>
          </w:p>
        </w:tc>
        <w:tc>
          <w:tcPr>
            <w:tcW w:w="6242" w:type="dxa"/>
          </w:tcPr>
          <w:p w:rsidR="00FA63B3" w:rsidRPr="00D35637" w:rsidRDefault="00FA63B3" w:rsidP="00B16711">
            <w:pPr>
              <w:tabs>
                <w:tab w:val="left" w:pos="5103"/>
              </w:tabs>
              <w:autoSpaceDE w:val="0"/>
              <w:autoSpaceDN w:val="0"/>
              <w:adjustRightInd w:val="0"/>
              <w:rPr>
                <w:rFonts w:ascii="Times New Roman" w:hAnsi="Times New Roman"/>
                <w:bCs/>
                <w:sz w:val="20"/>
                <w:szCs w:val="20"/>
              </w:rPr>
            </w:pPr>
            <w:r w:rsidRPr="00D35637">
              <w:rPr>
                <w:rFonts w:ascii="Times New Roman" w:hAnsi="Times New Roman"/>
                <w:bCs/>
                <w:sz w:val="20"/>
                <w:szCs w:val="20"/>
              </w:rPr>
              <w:t>Указывается в соответствии с Уставом</w:t>
            </w:r>
          </w:p>
        </w:tc>
      </w:tr>
      <w:tr w:rsidR="00FA63B3" w:rsidRPr="00D35637" w:rsidTr="00B16711">
        <w:trPr>
          <w:trHeight w:val="319"/>
        </w:trPr>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2.</w:t>
            </w:r>
          </w:p>
        </w:tc>
        <w:tc>
          <w:tcPr>
            <w:tcW w:w="3730" w:type="dxa"/>
          </w:tcPr>
          <w:p w:rsidR="00FA63B3" w:rsidRPr="00D35637" w:rsidRDefault="00FA63B3" w:rsidP="00B16711">
            <w:pPr>
              <w:tabs>
                <w:tab w:val="left" w:pos="5103"/>
              </w:tabs>
              <w:autoSpaceDE w:val="0"/>
              <w:autoSpaceDN w:val="0"/>
              <w:adjustRightInd w:val="0"/>
              <w:rPr>
                <w:rFonts w:ascii="Times New Roman" w:hAnsi="Times New Roman"/>
                <w:bCs/>
              </w:rPr>
            </w:pPr>
            <w:r w:rsidRPr="00D35637">
              <w:rPr>
                <w:rStyle w:val="10pt0pt"/>
                <w:rFonts w:eastAsiaTheme="minorHAnsi"/>
              </w:rPr>
              <w:t>Сокращенное наименование эмитента</w:t>
            </w:r>
          </w:p>
        </w:tc>
        <w:tc>
          <w:tcPr>
            <w:tcW w:w="6242" w:type="dxa"/>
          </w:tcPr>
          <w:p w:rsidR="00FA63B3" w:rsidRPr="00D35637" w:rsidRDefault="00FA63B3" w:rsidP="00B16711">
            <w:pPr>
              <w:tabs>
                <w:tab w:val="left" w:pos="5103"/>
              </w:tabs>
              <w:autoSpaceDE w:val="0"/>
              <w:autoSpaceDN w:val="0"/>
              <w:adjustRightInd w:val="0"/>
              <w:rPr>
                <w:rFonts w:ascii="Times New Roman" w:hAnsi="Times New Roman"/>
                <w:bCs/>
              </w:rPr>
            </w:pPr>
            <w:r w:rsidRPr="00D35637">
              <w:rPr>
                <w:rFonts w:ascii="Times New Roman" w:hAnsi="Times New Roman"/>
                <w:bCs/>
                <w:sz w:val="20"/>
                <w:szCs w:val="20"/>
              </w:rPr>
              <w:t>Указывается в соответствии с Уставом</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3.</w:t>
            </w:r>
          </w:p>
        </w:tc>
        <w:tc>
          <w:tcPr>
            <w:tcW w:w="3730" w:type="dxa"/>
          </w:tcPr>
          <w:p w:rsidR="00FA63B3" w:rsidRPr="00D35637" w:rsidRDefault="00FA63B3" w:rsidP="00B16711">
            <w:pPr>
              <w:tabs>
                <w:tab w:val="left" w:pos="5103"/>
              </w:tabs>
              <w:autoSpaceDE w:val="0"/>
              <w:autoSpaceDN w:val="0"/>
              <w:adjustRightInd w:val="0"/>
              <w:rPr>
                <w:rFonts w:ascii="Times New Roman" w:hAnsi="Times New Roman"/>
                <w:bCs/>
              </w:rPr>
            </w:pPr>
            <w:r w:rsidRPr="00D35637">
              <w:rPr>
                <w:rStyle w:val="10pt0pt"/>
                <w:rFonts w:eastAsiaTheme="minorHAnsi"/>
              </w:rPr>
              <w:t>Место нахождения эмитента</w:t>
            </w:r>
          </w:p>
        </w:tc>
        <w:tc>
          <w:tcPr>
            <w:tcW w:w="6242" w:type="dxa"/>
          </w:tcPr>
          <w:p w:rsidR="00FA63B3" w:rsidRPr="00D35637" w:rsidRDefault="00FA63B3" w:rsidP="00B16711">
            <w:pPr>
              <w:tabs>
                <w:tab w:val="left" w:pos="5103"/>
              </w:tabs>
              <w:autoSpaceDE w:val="0"/>
              <w:autoSpaceDN w:val="0"/>
              <w:adjustRightInd w:val="0"/>
              <w:rPr>
                <w:rFonts w:ascii="Times New Roman" w:hAnsi="Times New Roman"/>
                <w:bCs/>
              </w:rPr>
            </w:pPr>
            <w:r w:rsidRPr="00D35637">
              <w:rPr>
                <w:rFonts w:ascii="Times New Roman" w:hAnsi="Times New Roman"/>
                <w:bCs/>
                <w:sz w:val="20"/>
                <w:szCs w:val="20"/>
              </w:rPr>
              <w:t>Указывается в соответствии с Уставом</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4.</w:t>
            </w:r>
          </w:p>
        </w:tc>
        <w:tc>
          <w:tcPr>
            <w:tcW w:w="3730" w:type="dxa"/>
          </w:tcPr>
          <w:p w:rsidR="00FA63B3" w:rsidRPr="00D35637" w:rsidRDefault="00FA63B3" w:rsidP="00B16711">
            <w:pPr>
              <w:tabs>
                <w:tab w:val="left" w:pos="5103"/>
              </w:tabs>
              <w:autoSpaceDE w:val="0"/>
              <w:autoSpaceDN w:val="0"/>
              <w:adjustRightInd w:val="0"/>
              <w:rPr>
                <w:rFonts w:ascii="Times New Roman" w:hAnsi="Times New Roman"/>
                <w:bCs/>
              </w:rPr>
            </w:pPr>
            <w:r w:rsidRPr="00D35637">
              <w:rPr>
                <w:rStyle w:val="10pt0pt"/>
                <w:rFonts w:eastAsiaTheme="minorHAnsi"/>
              </w:rPr>
              <w:t>Адрес в пределах места нахождения эмитента</w:t>
            </w:r>
          </w:p>
        </w:tc>
        <w:tc>
          <w:tcPr>
            <w:tcW w:w="6242" w:type="dxa"/>
          </w:tcPr>
          <w:p w:rsidR="00FA63B3" w:rsidRPr="00D35637" w:rsidRDefault="00FA63B3" w:rsidP="00B16711">
            <w:pPr>
              <w:tabs>
                <w:tab w:val="left" w:pos="5103"/>
              </w:tabs>
              <w:autoSpaceDE w:val="0"/>
              <w:autoSpaceDN w:val="0"/>
              <w:adjustRightInd w:val="0"/>
              <w:rPr>
                <w:rFonts w:ascii="Times New Roman" w:hAnsi="Times New Roman"/>
                <w:bCs/>
              </w:rPr>
            </w:pPr>
            <w:r w:rsidRPr="00D35637">
              <w:rPr>
                <w:rStyle w:val="10pt0pt"/>
                <w:rFonts w:eastAsiaTheme="minorHAnsi"/>
              </w:rPr>
              <w:t>Указывается в соответствии со сведениями в ЕГРЮЛ</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5.</w:t>
            </w:r>
          </w:p>
        </w:tc>
        <w:tc>
          <w:tcPr>
            <w:tcW w:w="3730"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Сведения о лицах, имеющих право распоряжаться не менее, чем 10 процентами голосов в высшем органе управления эмитента, если таким лицом является корпорация</w:t>
            </w:r>
          </w:p>
        </w:tc>
        <w:tc>
          <w:tcPr>
            <w:tcW w:w="6242" w:type="dxa"/>
          </w:tcPr>
          <w:p w:rsidR="00FA63B3" w:rsidRPr="00D35637" w:rsidRDefault="00FA63B3" w:rsidP="00FA63B3">
            <w:pPr>
              <w:pStyle w:val="4"/>
              <w:numPr>
                <w:ilvl w:val="0"/>
                <w:numId w:val="1"/>
              </w:numPr>
              <w:shd w:val="clear" w:color="auto" w:fill="auto"/>
              <w:tabs>
                <w:tab w:val="left" w:pos="278"/>
              </w:tabs>
              <w:spacing w:after="0" w:line="259" w:lineRule="exact"/>
              <w:jc w:val="both"/>
            </w:pPr>
            <w:r w:rsidRPr="00D35637">
              <w:rPr>
                <w:rStyle w:val="10pt0pt"/>
              </w:rPr>
              <w:t>В отношении физических лиц указываются: ФИО и гражданство.</w:t>
            </w:r>
          </w:p>
          <w:p w:rsidR="00FA63B3" w:rsidRPr="00D35637" w:rsidRDefault="00FA63B3" w:rsidP="00FA63B3">
            <w:pPr>
              <w:pStyle w:val="4"/>
              <w:numPr>
                <w:ilvl w:val="0"/>
                <w:numId w:val="1"/>
              </w:numPr>
              <w:shd w:val="clear" w:color="auto" w:fill="auto"/>
              <w:tabs>
                <w:tab w:val="left" w:pos="288"/>
              </w:tabs>
              <w:spacing w:after="0" w:line="259" w:lineRule="exact"/>
              <w:jc w:val="both"/>
              <w:rPr>
                <w:rStyle w:val="10pt0pt"/>
                <w:rFonts w:eastAsiaTheme="minorHAnsi"/>
              </w:rPr>
            </w:pPr>
            <w:r w:rsidRPr="00D35637">
              <w:rPr>
                <w:rStyle w:val="10pt0pt"/>
              </w:rPr>
              <w:t>В отношении юридических лиц указываются: полное наименование, ОГРН (для российских юридических лиц) или сведения о регистрации в государ</w:t>
            </w:r>
            <w:r w:rsidRPr="00D35637">
              <w:rPr>
                <w:rStyle w:val="10pt0pt"/>
              </w:rPr>
              <w:softHyphen/>
              <w:t>ственных органах страны происхождения, позволяющие идентифицировать юридическое лицо в соответствии с его личным законом (для иностранных юридических лиц), адрес места нахождения.</w:t>
            </w:r>
          </w:p>
          <w:p w:rsidR="00FA63B3" w:rsidRPr="00D35637" w:rsidRDefault="00FA63B3" w:rsidP="00FA63B3">
            <w:pPr>
              <w:pStyle w:val="4"/>
              <w:numPr>
                <w:ilvl w:val="0"/>
                <w:numId w:val="1"/>
              </w:numPr>
              <w:shd w:val="clear" w:color="auto" w:fill="auto"/>
              <w:tabs>
                <w:tab w:val="left" w:pos="288"/>
              </w:tabs>
              <w:spacing w:after="0" w:line="259" w:lineRule="exact"/>
              <w:jc w:val="both"/>
              <w:rPr>
                <w:rStyle w:val="10pt0pt"/>
                <w:rFonts w:eastAsiaTheme="minorHAnsi"/>
              </w:rPr>
            </w:pPr>
            <w:r w:rsidRPr="00D35637">
              <w:rPr>
                <w:rStyle w:val="10pt0pt"/>
              </w:rPr>
              <w:t>В отношении каждого лица указывается процент голосов, право владения которыми имеется у указанного лица в уставном капитале ЮЛ, а также основание владения.</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6.</w:t>
            </w:r>
          </w:p>
        </w:tc>
        <w:tc>
          <w:tcPr>
            <w:tcW w:w="3730" w:type="dxa"/>
          </w:tcPr>
          <w:p w:rsidR="00FA63B3" w:rsidRPr="00D35637" w:rsidRDefault="00FA63B3" w:rsidP="00B16711">
            <w:pPr>
              <w:tabs>
                <w:tab w:val="left" w:pos="5103"/>
              </w:tabs>
              <w:autoSpaceDE w:val="0"/>
              <w:autoSpaceDN w:val="0"/>
              <w:adjustRightInd w:val="0"/>
              <w:rPr>
                <w:rStyle w:val="10pt0pt"/>
                <w:rFonts w:eastAsiaTheme="minorHAnsi"/>
              </w:rPr>
            </w:pPr>
            <w:r w:rsidRPr="00D35637">
              <w:rPr>
                <w:rStyle w:val="10pt0pt"/>
                <w:rFonts w:eastAsiaTheme="minorHAnsi"/>
              </w:rPr>
              <w:t>Сведения о структуре и персональном составе органов управления эмитента</w:t>
            </w:r>
          </w:p>
        </w:tc>
        <w:tc>
          <w:tcPr>
            <w:tcW w:w="6242" w:type="dxa"/>
          </w:tcPr>
          <w:p w:rsidR="00FA63B3" w:rsidRPr="00D35637" w:rsidRDefault="00FA63B3" w:rsidP="00FA63B3">
            <w:pPr>
              <w:pStyle w:val="4"/>
              <w:numPr>
                <w:ilvl w:val="0"/>
                <w:numId w:val="2"/>
              </w:numPr>
              <w:shd w:val="clear" w:color="auto" w:fill="auto"/>
              <w:tabs>
                <w:tab w:val="left" w:pos="274"/>
              </w:tabs>
              <w:spacing w:after="0" w:line="254" w:lineRule="exact"/>
              <w:jc w:val="both"/>
            </w:pPr>
            <w:r w:rsidRPr="00D35637">
              <w:rPr>
                <w:rStyle w:val="10pt0pt"/>
              </w:rPr>
              <w:t>Указывается наименование органов управления и их персональный состав.</w:t>
            </w:r>
          </w:p>
          <w:p w:rsidR="00FA63B3" w:rsidRPr="00D35637" w:rsidRDefault="00FA63B3" w:rsidP="00FA63B3">
            <w:pPr>
              <w:pStyle w:val="4"/>
              <w:numPr>
                <w:ilvl w:val="0"/>
                <w:numId w:val="2"/>
              </w:numPr>
              <w:shd w:val="clear" w:color="auto" w:fill="auto"/>
              <w:tabs>
                <w:tab w:val="left" w:pos="312"/>
              </w:tabs>
              <w:spacing w:after="0" w:line="254" w:lineRule="exact"/>
              <w:jc w:val="both"/>
            </w:pPr>
            <w:r w:rsidRPr="00D35637">
              <w:rPr>
                <w:rStyle w:val="10pt0pt"/>
              </w:rPr>
              <w:t>В отношении физических лиц, входящих в состав исполнительных органов и совета директоров (наблюдательного совета) ЮЛ, указываются полное ФИО и гражданство.</w:t>
            </w:r>
          </w:p>
          <w:p w:rsidR="00FA63B3" w:rsidRPr="00D35637" w:rsidRDefault="00FA63B3" w:rsidP="00FA63B3">
            <w:pPr>
              <w:pStyle w:val="4"/>
              <w:numPr>
                <w:ilvl w:val="0"/>
                <w:numId w:val="2"/>
              </w:numPr>
              <w:shd w:val="clear" w:color="auto" w:fill="auto"/>
              <w:tabs>
                <w:tab w:val="left" w:pos="274"/>
              </w:tabs>
              <w:spacing w:after="0" w:line="254" w:lineRule="exact"/>
              <w:jc w:val="both"/>
              <w:rPr>
                <w:rStyle w:val="10pt0pt"/>
              </w:rPr>
            </w:pPr>
            <w:r w:rsidRPr="00D35637">
              <w:rPr>
                <w:rStyle w:val="10pt0pt"/>
              </w:rPr>
              <w:t>В отношении юридических лиц указываются: полное наименование, ОГРН (для российских юридических лиц) или сведения о регистрации в государ</w:t>
            </w:r>
            <w:r w:rsidRPr="00D35637">
              <w:rPr>
                <w:rStyle w:val="10pt0pt"/>
              </w:rPr>
              <w:softHyphen/>
              <w:t>ственных органах страны происхождения, позволяющие идентифицировать юридическое лицо в соответствии с его личным законом (для иностранных юридических лиц), адрес места нахождения.</w:t>
            </w:r>
          </w:p>
          <w:p w:rsidR="00FA63B3" w:rsidRPr="00D35637" w:rsidRDefault="00FA63B3" w:rsidP="00FA63B3">
            <w:pPr>
              <w:pStyle w:val="4"/>
              <w:numPr>
                <w:ilvl w:val="0"/>
                <w:numId w:val="2"/>
              </w:numPr>
              <w:shd w:val="clear" w:color="auto" w:fill="auto"/>
              <w:tabs>
                <w:tab w:val="left" w:pos="312"/>
              </w:tabs>
              <w:spacing w:after="0" w:line="254" w:lineRule="exact"/>
              <w:jc w:val="both"/>
              <w:rPr>
                <w:rStyle w:val="10pt0pt"/>
                <w:rFonts w:eastAsiaTheme="minorHAnsi"/>
              </w:rPr>
            </w:pPr>
            <w:r w:rsidRPr="00D35637">
              <w:rPr>
                <w:rStyle w:val="10pt0pt"/>
              </w:rPr>
              <w:t>В отношении лиц, каждое из которых владеет менее 1 (Одного) процента уставного капитала ЮЛ, указывается общее количество акций/долей и процент уставного капитала ЮЛ, принадлежащие таким лицам в совокупности.</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7.</w:t>
            </w:r>
          </w:p>
        </w:tc>
        <w:tc>
          <w:tcPr>
            <w:tcW w:w="3730" w:type="dxa"/>
          </w:tcPr>
          <w:p w:rsidR="00FA63B3" w:rsidRPr="00D35637" w:rsidRDefault="00FA63B3" w:rsidP="00B16711">
            <w:pPr>
              <w:tabs>
                <w:tab w:val="left" w:pos="5103"/>
              </w:tabs>
              <w:autoSpaceDE w:val="0"/>
              <w:autoSpaceDN w:val="0"/>
              <w:adjustRightInd w:val="0"/>
              <w:rPr>
                <w:rStyle w:val="10pt0pt"/>
                <w:rFonts w:eastAsiaTheme="minorHAnsi"/>
              </w:rPr>
            </w:pPr>
            <w:r w:rsidRPr="00D35637">
              <w:rPr>
                <w:rStyle w:val="10pt0pt"/>
                <w:rFonts w:eastAsiaTheme="minorHAnsi"/>
              </w:rPr>
              <w:t>Основные виды деятельности эмитента</w:t>
            </w:r>
          </w:p>
        </w:tc>
        <w:tc>
          <w:tcPr>
            <w:tcW w:w="6242"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Указываются наименования видов деятельности и их коды в соответствии с ОКВЭД.</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8.</w:t>
            </w:r>
          </w:p>
        </w:tc>
        <w:tc>
          <w:tcPr>
            <w:tcW w:w="3730" w:type="dxa"/>
          </w:tcPr>
          <w:p w:rsidR="00FA63B3" w:rsidRPr="00D35637" w:rsidRDefault="00FA63B3" w:rsidP="00B16711">
            <w:pPr>
              <w:tabs>
                <w:tab w:val="left" w:pos="5103"/>
              </w:tabs>
              <w:autoSpaceDE w:val="0"/>
              <w:autoSpaceDN w:val="0"/>
              <w:adjustRightInd w:val="0"/>
              <w:rPr>
                <w:rStyle w:val="10pt0pt"/>
                <w:rFonts w:eastAsiaTheme="minorHAnsi"/>
              </w:rPr>
            </w:pPr>
            <w:r w:rsidRPr="00D35637">
              <w:rPr>
                <w:rStyle w:val="10pt0pt"/>
                <w:rFonts w:eastAsiaTheme="minorHAnsi"/>
              </w:rPr>
              <w:t>Сведения о фактах (событиях, действиях), которые могут оказать существенное влияние на исполнение эмитентом обязательств перед Инвесторами</w:t>
            </w:r>
          </w:p>
        </w:tc>
        <w:tc>
          <w:tcPr>
            <w:tcW w:w="6242"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Заполняется в соответствии с видом предоставляемой информации исходя из иных условий инвестиционного предложения и особенностей деятельности ЮЛ.</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9.</w:t>
            </w:r>
          </w:p>
        </w:tc>
        <w:tc>
          <w:tcPr>
            <w:tcW w:w="3730" w:type="dxa"/>
          </w:tcPr>
          <w:p w:rsidR="00FA63B3"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Сведения о суммах инвестиций, привлеченных эмитентом в инвестиционной платформе (включая иные инвестиционные платформы) в текущем календарном году, а также о мак</w:t>
            </w:r>
            <w:r w:rsidRPr="00D35637">
              <w:rPr>
                <w:rStyle w:val="10pt0pt"/>
                <w:rFonts w:eastAsiaTheme="minorHAnsi"/>
              </w:rPr>
              <w:softHyphen/>
              <w:t>симальном объеме денежных средств, указанном в каждом действующем инвестици</w:t>
            </w:r>
            <w:r w:rsidRPr="00D35637">
              <w:rPr>
                <w:rStyle w:val="10pt0pt"/>
                <w:rFonts w:eastAsiaTheme="minorHAnsi"/>
              </w:rPr>
              <w:softHyphen/>
              <w:t>онном предложении в этой инвестиционной платформе, по достижении которого инвестиционное предложение прекращается</w:t>
            </w:r>
          </w:p>
          <w:p w:rsidR="00FA63B3" w:rsidRPr="00D35637" w:rsidRDefault="00FA63B3" w:rsidP="00B16711">
            <w:pPr>
              <w:tabs>
                <w:tab w:val="left" w:pos="5103"/>
              </w:tabs>
              <w:autoSpaceDE w:val="0"/>
              <w:autoSpaceDN w:val="0"/>
              <w:adjustRightInd w:val="0"/>
              <w:jc w:val="both"/>
              <w:rPr>
                <w:rStyle w:val="10pt0pt"/>
                <w:rFonts w:eastAsiaTheme="minorHAnsi"/>
              </w:rPr>
            </w:pPr>
          </w:p>
        </w:tc>
        <w:tc>
          <w:tcPr>
            <w:tcW w:w="6242"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Заполняется в соответствии с видом предоставляемой информации за текущий календарный год, с указанием сумм инвестиций, привлеченных ЮЛ на инвестиционных платформах, и максимального объема привлекаемых инвестиций в действующих инвестиционных предложениях ЮЛ, размещенных на инвестиционных платформах.</w:t>
            </w:r>
          </w:p>
        </w:tc>
      </w:tr>
      <w:tr w:rsidR="00FA63B3" w:rsidRPr="00D35637" w:rsidTr="00B16711">
        <w:tc>
          <w:tcPr>
            <w:tcW w:w="10447" w:type="dxa"/>
            <w:gridSpan w:val="3"/>
            <w:shd w:val="clear" w:color="auto" w:fill="E7E6E6" w:themeFill="background2"/>
          </w:tcPr>
          <w:p w:rsidR="00FA63B3" w:rsidRPr="00D35637" w:rsidRDefault="00FA63B3" w:rsidP="00B16711">
            <w:pPr>
              <w:tabs>
                <w:tab w:val="left" w:pos="5103"/>
              </w:tabs>
              <w:autoSpaceDE w:val="0"/>
              <w:autoSpaceDN w:val="0"/>
              <w:adjustRightInd w:val="0"/>
              <w:jc w:val="center"/>
              <w:rPr>
                <w:rStyle w:val="10pt0pt"/>
                <w:rFonts w:eastAsiaTheme="minorHAnsi"/>
              </w:rPr>
            </w:pPr>
            <w:r w:rsidRPr="00D35637">
              <w:rPr>
                <w:rFonts w:ascii="Times New Roman" w:hAnsi="Times New Roman"/>
                <w:b/>
                <w:bCs/>
              </w:rPr>
              <w:t>Информация об Инвестиционном предложении</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lastRenderedPageBreak/>
              <w:t>1.</w:t>
            </w:r>
          </w:p>
        </w:tc>
        <w:tc>
          <w:tcPr>
            <w:tcW w:w="3730"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Информация о способе привлечения инвестиций</w:t>
            </w:r>
          </w:p>
        </w:tc>
        <w:tc>
          <w:tcPr>
            <w:tcW w:w="6242"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Указывается способ запрашиваемого инвестирования приобретение эмиссионных ценных бумаг.</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2.</w:t>
            </w:r>
          </w:p>
        </w:tc>
        <w:tc>
          <w:tcPr>
            <w:tcW w:w="3730"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 xml:space="preserve">Информация о целях привлечения инвестиций и об обстоятельствах, которые могут оказать влияние на достижение указанных целей, а также об основных рисках, связанных с лицом, привлекающим инвестиции, и рисках, связанных с принятием Инвестиционного предложения. </w:t>
            </w:r>
          </w:p>
        </w:tc>
        <w:tc>
          <w:tcPr>
            <w:tcW w:w="6242"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Заполняется в соответствии с видом предоставляемой информации, с учетом условий инвестиционного предложения и особенностей деятельности лица, привлекающего инвестиции.</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3.</w:t>
            </w:r>
          </w:p>
        </w:tc>
        <w:tc>
          <w:tcPr>
            <w:tcW w:w="3730" w:type="dxa"/>
          </w:tcPr>
          <w:p w:rsidR="00FA63B3" w:rsidRPr="00D35637" w:rsidRDefault="00FA63B3" w:rsidP="00B16711">
            <w:pPr>
              <w:pStyle w:val="4"/>
              <w:shd w:val="clear" w:color="auto" w:fill="auto"/>
              <w:spacing w:after="180" w:line="250" w:lineRule="exact"/>
              <w:jc w:val="both"/>
              <w:rPr>
                <w:rStyle w:val="10pt0pt"/>
                <w:rFonts w:eastAsiaTheme="minorHAnsi"/>
                <w:b/>
              </w:rPr>
            </w:pPr>
            <w:r w:rsidRPr="00D35637">
              <w:rPr>
                <w:rStyle w:val="10pt0pt"/>
              </w:rPr>
              <w:t>Информация, указанная в решении о выпуске ценных бумаг, а также в документе, содержащем условия их размещения, и (или) в проспекте ценных бумаг (с приложением электронных документов или электронных образов документов)</w:t>
            </w:r>
          </w:p>
        </w:tc>
        <w:tc>
          <w:tcPr>
            <w:tcW w:w="6242" w:type="dxa"/>
          </w:tcPr>
          <w:p w:rsidR="00FA63B3" w:rsidRPr="00D35637" w:rsidRDefault="00FA63B3" w:rsidP="00B16711">
            <w:pPr>
              <w:pStyle w:val="4"/>
              <w:shd w:val="clear" w:color="auto" w:fill="auto"/>
              <w:spacing w:after="0" w:line="250" w:lineRule="exact"/>
              <w:jc w:val="both"/>
            </w:pPr>
            <w:r w:rsidRPr="00D35637">
              <w:rPr>
                <w:rStyle w:val="10pt0pt"/>
              </w:rPr>
              <w:t>Заполняется в соответствии с содержанием решения о выпуске ценных бумаг, документа, содержащего условия их размещения, и (или) в проспекте ценных бумаг</w:t>
            </w:r>
          </w:p>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(документы прилагаются в виде электронных документов или электронных образов документов, подписанных электронной подписью лица, привлекающего инвестиции).</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4.</w:t>
            </w:r>
          </w:p>
        </w:tc>
        <w:tc>
          <w:tcPr>
            <w:tcW w:w="3730" w:type="dxa"/>
          </w:tcPr>
          <w:p w:rsidR="00FA63B3" w:rsidRPr="00D35637" w:rsidRDefault="00FA63B3" w:rsidP="00B16711">
            <w:pPr>
              <w:pStyle w:val="4"/>
              <w:shd w:val="clear" w:color="auto" w:fill="auto"/>
              <w:spacing w:after="180" w:line="250" w:lineRule="exact"/>
              <w:jc w:val="both"/>
            </w:pPr>
            <w:r w:rsidRPr="00D35637">
              <w:rPr>
                <w:rStyle w:val="10pt0pt"/>
              </w:rPr>
              <w:t>Информация о порядке, сроках и условиях размещения ценных бумаг среди инвесторов</w:t>
            </w:r>
          </w:p>
          <w:p w:rsidR="00FA63B3" w:rsidRPr="00D35637" w:rsidRDefault="00FA63B3" w:rsidP="00B16711">
            <w:pPr>
              <w:tabs>
                <w:tab w:val="left" w:pos="5103"/>
              </w:tabs>
              <w:autoSpaceDE w:val="0"/>
              <w:autoSpaceDN w:val="0"/>
              <w:adjustRightInd w:val="0"/>
              <w:jc w:val="both"/>
              <w:rPr>
                <w:rStyle w:val="10pt0pt"/>
                <w:rFonts w:eastAsiaTheme="minorHAnsi"/>
                <w:b/>
              </w:rPr>
            </w:pPr>
          </w:p>
        </w:tc>
        <w:tc>
          <w:tcPr>
            <w:tcW w:w="6242" w:type="dxa"/>
          </w:tcPr>
          <w:p w:rsidR="00FA63B3" w:rsidRPr="00D35637" w:rsidRDefault="00FA63B3" w:rsidP="00B16711">
            <w:pPr>
              <w:tabs>
                <w:tab w:val="left" w:pos="5103"/>
              </w:tabs>
              <w:autoSpaceDE w:val="0"/>
              <w:autoSpaceDN w:val="0"/>
              <w:adjustRightInd w:val="0"/>
              <w:rPr>
                <w:rStyle w:val="10pt0pt"/>
                <w:rFonts w:eastAsiaTheme="minorHAnsi"/>
              </w:rPr>
            </w:pPr>
            <w:r w:rsidRPr="00D35637">
              <w:rPr>
                <w:rStyle w:val="10pt0pt"/>
                <w:rFonts w:eastAsiaTheme="minorHAnsi"/>
              </w:rPr>
              <w:t>Заполняется с учетом содержания решения о выпуске ценных бумаг, документа, устанавливающего условия размещения ценных бумаг</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5.</w:t>
            </w:r>
          </w:p>
        </w:tc>
        <w:tc>
          <w:tcPr>
            <w:tcW w:w="3730" w:type="dxa"/>
          </w:tcPr>
          <w:p w:rsidR="00FA63B3" w:rsidRPr="00D35637" w:rsidRDefault="00FA63B3" w:rsidP="00B16711">
            <w:pPr>
              <w:pStyle w:val="4"/>
              <w:shd w:val="clear" w:color="auto" w:fill="auto"/>
              <w:spacing w:after="180" w:line="254" w:lineRule="exact"/>
              <w:jc w:val="both"/>
            </w:pPr>
            <w:r w:rsidRPr="00D35637">
              <w:rPr>
                <w:rStyle w:val="10pt0pt"/>
              </w:rPr>
              <w:t>Информацию о наличии или отсутствии у инвестора преимущественного права приобретения размещаемых дополнительных</w:t>
            </w:r>
            <w:r w:rsidRPr="00D35637">
              <w:rPr>
                <w:rStyle w:val="10pt0pt"/>
                <w:rFonts w:eastAsiaTheme="minorHAnsi"/>
              </w:rPr>
              <w:t xml:space="preserve"> </w:t>
            </w:r>
            <w:r w:rsidRPr="00D35637">
              <w:rPr>
                <w:rStyle w:val="10pt0pt"/>
              </w:rPr>
              <w:t>акций и ценных бумаг, конвертируемых в акции *</w:t>
            </w:r>
          </w:p>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9pt0pt"/>
                <w:rFonts w:eastAsiaTheme="minorHAnsi"/>
              </w:rPr>
              <w:t>*для инвестиционных предложений, содержащих предложение о приобретении акций и ценных бумаг, конвертируемых в акции</w:t>
            </w:r>
          </w:p>
        </w:tc>
        <w:tc>
          <w:tcPr>
            <w:tcW w:w="6242"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Заполняется учетом содержания решения о выпуске ценных бумаг, документа, устанавливающего условия размещения ценных бумаг, внутренних документов лица, привлекающего инвестиции</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6.</w:t>
            </w:r>
          </w:p>
        </w:tc>
        <w:tc>
          <w:tcPr>
            <w:tcW w:w="3730" w:type="dxa"/>
            <w:shd w:val="clear" w:color="auto" w:fill="auto"/>
          </w:tcPr>
          <w:p w:rsidR="00FA63B3" w:rsidRPr="00D35637" w:rsidRDefault="00FA63B3" w:rsidP="00B16711">
            <w:pPr>
              <w:pStyle w:val="4"/>
              <w:shd w:val="clear" w:color="auto" w:fill="auto"/>
              <w:spacing w:after="180" w:line="254" w:lineRule="exact"/>
              <w:jc w:val="both"/>
              <w:rPr>
                <w:rStyle w:val="10pt0pt"/>
              </w:rPr>
            </w:pPr>
            <w:r w:rsidRPr="00D35637">
              <w:rPr>
                <w:rStyle w:val="10pt0pt"/>
              </w:rPr>
              <w:t>Предупреждение о рисках, связанных с потерей инвестиций и (или) невозможностью продажи имущества, в том числе имущественных прав, приобретенных в результате инвестирования.</w:t>
            </w:r>
          </w:p>
        </w:tc>
        <w:tc>
          <w:tcPr>
            <w:tcW w:w="6242"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Предупреждение, адресованное потенциальным инвесторам и являющееся неотъемлемой частью инвестиционного предложения, заполняется с учетом условий, на которых привлекаются инвестиции.</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7.</w:t>
            </w:r>
          </w:p>
        </w:tc>
        <w:tc>
          <w:tcPr>
            <w:tcW w:w="3730" w:type="dxa"/>
          </w:tcPr>
          <w:p w:rsidR="00FA63B3" w:rsidRPr="00D35637" w:rsidRDefault="00FA63B3" w:rsidP="00B16711">
            <w:pPr>
              <w:pStyle w:val="4"/>
              <w:shd w:val="clear" w:color="auto" w:fill="auto"/>
              <w:spacing w:after="180" w:line="254" w:lineRule="exact"/>
              <w:jc w:val="both"/>
              <w:rPr>
                <w:rStyle w:val="10pt0pt"/>
              </w:rPr>
            </w:pPr>
            <w:r w:rsidRPr="00D35637">
              <w:rPr>
                <w:rStyle w:val="10pt0pt"/>
              </w:rPr>
              <w:t>Информация о максимальной сумме запрашиваемых инвестиций, достижение которой необходимо для прекращения действия инвестиционного предложения</w:t>
            </w:r>
          </w:p>
        </w:tc>
        <w:tc>
          <w:tcPr>
            <w:tcW w:w="6242"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Указывается размер денежных средств привлекаемых инвестиций, при достижении которого действие инвестиционного предложения прекращается, инвестиционные средства по заключенным договорам инвестирования перечисляются лицу, привлекающему инвестиции (с учетом ограничений, установленных Правилами инвестиционной платформы ООО «Реестр-РН»).</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8.</w:t>
            </w:r>
          </w:p>
        </w:tc>
        <w:tc>
          <w:tcPr>
            <w:tcW w:w="3730" w:type="dxa"/>
          </w:tcPr>
          <w:p w:rsidR="00FA63B3" w:rsidRPr="00D35637" w:rsidRDefault="00FA63B3" w:rsidP="00B16711">
            <w:pPr>
              <w:pStyle w:val="4"/>
              <w:shd w:val="clear" w:color="auto" w:fill="auto"/>
              <w:spacing w:after="180" w:line="254" w:lineRule="exact"/>
              <w:jc w:val="both"/>
              <w:rPr>
                <w:rStyle w:val="10pt0pt"/>
              </w:rPr>
            </w:pPr>
            <w:r w:rsidRPr="00D35637">
              <w:rPr>
                <w:rStyle w:val="10pt0pt"/>
              </w:rPr>
              <w:t>Информацию о минимальной сумме запрашиваемых инвестиций (минимальном объеме денежных средств Инвесторов, достижение которого является необходимым условием для заключения договора инвестирования</w:t>
            </w:r>
          </w:p>
        </w:tc>
        <w:tc>
          <w:tcPr>
            <w:tcW w:w="6242"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Указывается размер денежных средств привлекаемых инвестиций, при достижении которого заключаются договоры инвестирования.</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9.</w:t>
            </w:r>
          </w:p>
        </w:tc>
        <w:tc>
          <w:tcPr>
            <w:tcW w:w="3730" w:type="dxa"/>
          </w:tcPr>
          <w:p w:rsidR="00FA63B3" w:rsidRPr="00D35637" w:rsidRDefault="00FA63B3" w:rsidP="00B16711">
            <w:pPr>
              <w:pStyle w:val="4"/>
              <w:shd w:val="clear" w:color="auto" w:fill="auto"/>
              <w:spacing w:after="180" w:line="254" w:lineRule="exact"/>
              <w:jc w:val="both"/>
              <w:rPr>
                <w:rStyle w:val="10pt0pt"/>
              </w:rPr>
            </w:pPr>
            <w:r w:rsidRPr="00D35637">
              <w:rPr>
                <w:rStyle w:val="10pt0pt"/>
              </w:rPr>
              <w:t>Информацию о сроке действия Инвестиционного предложения</w:t>
            </w:r>
          </w:p>
        </w:tc>
        <w:tc>
          <w:tcPr>
            <w:tcW w:w="6242"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Указывается конкретный срок, в течение которого действует инвестиционное предложение.</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center"/>
              <w:rPr>
                <w:rFonts w:ascii="Times New Roman" w:hAnsi="Times New Roman"/>
                <w:bCs/>
                <w:sz w:val="20"/>
                <w:szCs w:val="20"/>
              </w:rPr>
            </w:pPr>
            <w:r w:rsidRPr="00D35637">
              <w:rPr>
                <w:rFonts w:ascii="Times New Roman" w:hAnsi="Times New Roman"/>
                <w:bCs/>
                <w:sz w:val="20"/>
                <w:szCs w:val="20"/>
              </w:rPr>
              <w:t>10.</w:t>
            </w:r>
          </w:p>
        </w:tc>
        <w:tc>
          <w:tcPr>
            <w:tcW w:w="3730" w:type="dxa"/>
          </w:tcPr>
          <w:p w:rsidR="00FA63B3" w:rsidRPr="00D35637" w:rsidRDefault="00FA63B3" w:rsidP="00B16711">
            <w:pPr>
              <w:pStyle w:val="4"/>
              <w:shd w:val="clear" w:color="auto" w:fill="auto"/>
              <w:spacing w:after="180" w:line="254" w:lineRule="exact"/>
              <w:jc w:val="both"/>
              <w:rPr>
                <w:rStyle w:val="10pt0pt"/>
              </w:rPr>
            </w:pPr>
            <w:r w:rsidRPr="00D35637">
              <w:rPr>
                <w:rStyle w:val="10pt0pt"/>
              </w:rPr>
              <w:t xml:space="preserve">Сведения об экспертах, привлеченных для мониторинга и оценки деятельности лица, привлекающего </w:t>
            </w:r>
            <w:r w:rsidRPr="00D35637">
              <w:rPr>
                <w:rStyle w:val="10pt0pt"/>
              </w:rPr>
              <w:lastRenderedPageBreak/>
              <w:t>инвестиции, направленной на достижение целей инвестирования, а также результаты таких мониторинга и оценки.</w:t>
            </w:r>
          </w:p>
        </w:tc>
        <w:tc>
          <w:tcPr>
            <w:tcW w:w="6242"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lastRenderedPageBreak/>
              <w:t>Заполняется лицом, привлекающим инвестиции, если соответствующие сведения имеются.</w:t>
            </w:r>
          </w:p>
        </w:tc>
      </w:tr>
      <w:tr w:rsidR="00FA63B3" w:rsidRPr="00D35637" w:rsidTr="00B16711">
        <w:tc>
          <w:tcPr>
            <w:tcW w:w="475" w:type="dxa"/>
          </w:tcPr>
          <w:p w:rsidR="00FA63B3" w:rsidRPr="00D35637" w:rsidRDefault="00FA63B3" w:rsidP="00B16711">
            <w:pPr>
              <w:pStyle w:val="4"/>
              <w:shd w:val="clear" w:color="auto" w:fill="auto"/>
              <w:spacing w:after="180" w:line="254" w:lineRule="exact"/>
              <w:jc w:val="both"/>
              <w:rPr>
                <w:rStyle w:val="10pt0pt"/>
              </w:rPr>
            </w:pPr>
            <w:r w:rsidRPr="00D35637">
              <w:rPr>
                <w:rStyle w:val="10pt0pt"/>
              </w:rPr>
              <w:t>11.</w:t>
            </w:r>
          </w:p>
        </w:tc>
        <w:tc>
          <w:tcPr>
            <w:tcW w:w="3730" w:type="dxa"/>
          </w:tcPr>
          <w:p w:rsidR="00FA63B3" w:rsidRPr="00D35637" w:rsidRDefault="00FA63B3" w:rsidP="00B16711">
            <w:pPr>
              <w:pStyle w:val="4"/>
              <w:shd w:val="clear" w:color="auto" w:fill="auto"/>
              <w:spacing w:after="180" w:line="254" w:lineRule="exact"/>
              <w:jc w:val="both"/>
              <w:rPr>
                <w:rStyle w:val="10pt0pt"/>
              </w:rPr>
            </w:pPr>
            <w:r w:rsidRPr="00D35637">
              <w:rPr>
                <w:rStyle w:val="10pt0pt"/>
              </w:rPr>
              <w:t>Информацию о наличии или отсутствии в инвестиционном предложении условии об имущественных правах</w:t>
            </w:r>
          </w:p>
        </w:tc>
        <w:tc>
          <w:tcPr>
            <w:tcW w:w="6242"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Указывается о наличии или отсутствии в инвестиционном предложении условия о том, что лицо, контролирующее юридическое лицо, привлекающее инвестиции, приняло на себя обязанность приобрести у инвесторов имущественные права, полученные при инвестировании, в случае, если такое лицо перестает являться лицом, контролирующим юридическое лицо, привлекающее инвестиции</w:t>
            </w:r>
          </w:p>
        </w:tc>
      </w:tr>
      <w:tr w:rsidR="00FA63B3" w:rsidRPr="00D35637" w:rsidTr="00B16711">
        <w:tc>
          <w:tcPr>
            <w:tcW w:w="475"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 xml:space="preserve">12. </w:t>
            </w:r>
          </w:p>
        </w:tc>
        <w:tc>
          <w:tcPr>
            <w:tcW w:w="3730" w:type="dxa"/>
          </w:tcPr>
          <w:p w:rsidR="00FA63B3" w:rsidRPr="00D35637" w:rsidRDefault="00FA63B3" w:rsidP="00B16711">
            <w:pPr>
              <w:pStyle w:val="4"/>
              <w:shd w:val="clear" w:color="auto" w:fill="auto"/>
              <w:spacing w:after="180" w:line="254" w:lineRule="exact"/>
              <w:jc w:val="both"/>
              <w:rPr>
                <w:rStyle w:val="10pt0pt"/>
                <w:rFonts w:eastAsiaTheme="minorHAnsi"/>
              </w:rPr>
            </w:pPr>
            <w:r w:rsidRPr="00D35637">
              <w:rPr>
                <w:rStyle w:val="10pt0pt"/>
                <w:rFonts w:eastAsiaTheme="minorHAnsi"/>
              </w:rPr>
              <w:t>Реквизиты банковского счета Лица, привлекающего инвестиции</w:t>
            </w:r>
          </w:p>
        </w:tc>
        <w:tc>
          <w:tcPr>
            <w:tcW w:w="6242" w:type="dxa"/>
          </w:tcPr>
          <w:p w:rsidR="00FA63B3" w:rsidRPr="00D35637" w:rsidRDefault="00FA63B3" w:rsidP="00B16711">
            <w:pPr>
              <w:tabs>
                <w:tab w:val="left" w:pos="5103"/>
              </w:tabs>
              <w:autoSpaceDE w:val="0"/>
              <w:autoSpaceDN w:val="0"/>
              <w:adjustRightInd w:val="0"/>
              <w:jc w:val="both"/>
              <w:rPr>
                <w:rStyle w:val="10pt0pt"/>
                <w:rFonts w:eastAsiaTheme="minorHAnsi"/>
              </w:rPr>
            </w:pPr>
            <w:r w:rsidRPr="00D35637">
              <w:rPr>
                <w:rStyle w:val="10pt0pt"/>
                <w:rFonts w:eastAsiaTheme="minorHAnsi"/>
              </w:rPr>
              <w:t>Указываются реквизиты банковского счета Лица, привлекающего инвестиции для перечисления Оператором денежных средств Инвесторов, принявших Инвестиционное предложение с Номинального счета оператора.</w:t>
            </w:r>
          </w:p>
        </w:tc>
      </w:tr>
    </w:tbl>
    <w:p w:rsidR="00FA63B3" w:rsidRPr="00D35637" w:rsidRDefault="00FA63B3" w:rsidP="00FA63B3">
      <w:pPr>
        <w:tabs>
          <w:tab w:val="left" w:pos="5103"/>
        </w:tabs>
        <w:autoSpaceDE w:val="0"/>
        <w:autoSpaceDN w:val="0"/>
        <w:adjustRightInd w:val="0"/>
        <w:jc w:val="center"/>
        <w:rPr>
          <w:rFonts w:ascii="Times New Roman" w:hAnsi="Times New Roman"/>
          <w:bCs/>
        </w:rPr>
      </w:pPr>
    </w:p>
    <w:p w:rsidR="00FA63B3" w:rsidRPr="00D35637" w:rsidRDefault="00FA63B3" w:rsidP="00FA63B3">
      <w:pPr>
        <w:pStyle w:val="90"/>
        <w:shd w:val="clear" w:color="auto" w:fill="auto"/>
        <w:spacing w:after="240" w:line="274" w:lineRule="exact"/>
        <w:ind w:left="-142" w:right="-2" w:firstLine="426"/>
        <w:jc w:val="both"/>
        <w:rPr>
          <w:b/>
        </w:rPr>
      </w:pPr>
      <w:r w:rsidRPr="00D35637">
        <w:rPr>
          <w:b/>
        </w:rPr>
        <w:t>Настоящим Лицо, привлекающие инвестиции, подтверждает, что вся указанная выше информация и документы являются достоверными, актуальными, полными, а также, что Лицо, привлекающие инвестиции, при предоставлении указанной выше информации и документов действовало разумно и добросовестно. В случае нарушения указанного требования Оператор не несет ответственности за действия Лица, привлекающего инвестиции.</w:t>
      </w:r>
    </w:p>
    <w:p w:rsidR="00FA63B3" w:rsidRPr="00D35637" w:rsidRDefault="00FA63B3" w:rsidP="00FA63B3">
      <w:pPr>
        <w:pStyle w:val="90"/>
        <w:shd w:val="clear" w:color="auto" w:fill="auto"/>
        <w:spacing w:after="0" w:line="274" w:lineRule="exact"/>
        <w:ind w:left="20" w:firstLine="560"/>
        <w:jc w:val="both"/>
      </w:pPr>
      <w:r w:rsidRPr="00D35637">
        <w:t>К Инвестиционному предложению прилагаются:</w:t>
      </w:r>
    </w:p>
    <w:p w:rsidR="00FA63B3" w:rsidRPr="00D35637" w:rsidRDefault="00FA63B3" w:rsidP="00FA63B3">
      <w:pPr>
        <w:pStyle w:val="90"/>
        <w:numPr>
          <w:ilvl w:val="0"/>
          <w:numId w:val="3"/>
        </w:numPr>
        <w:shd w:val="clear" w:color="auto" w:fill="auto"/>
        <w:tabs>
          <w:tab w:val="left" w:pos="567"/>
        </w:tabs>
        <w:spacing w:after="0" w:line="274" w:lineRule="exact"/>
        <w:ind w:left="426" w:hanging="426"/>
        <w:jc w:val="both"/>
      </w:pPr>
      <w:r w:rsidRPr="00D35637">
        <w:t>Годовая бухгалтерская (финансовая) отчетность за последний завершенный отчетный год, а также аудиторское заключение о такой отчетности (если такая отчетность подлежит обязательному аудиту), если юридическое лицо существует более одного года и размер привлекаемых им инвестиций превышает 60 000 000 (шестьдесят миллионов) рублей, в форме электронных документов или электронных образов (электронных копий документов).</w:t>
      </w:r>
    </w:p>
    <w:p w:rsidR="00FA63B3" w:rsidRPr="00D35637" w:rsidRDefault="00FA63B3" w:rsidP="00FA63B3">
      <w:pPr>
        <w:pStyle w:val="90"/>
        <w:numPr>
          <w:ilvl w:val="0"/>
          <w:numId w:val="3"/>
        </w:numPr>
        <w:shd w:val="clear" w:color="auto" w:fill="auto"/>
        <w:tabs>
          <w:tab w:val="left" w:pos="567"/>
        </w:tabs>
        <w:spacing w:after="0" w:line="274" w:lineRule="exact"/>
        <w:ind w:left="426" w:hanging="426"/>
        <w:jc w:val="both"/>
      </w:pPr>
      <w:r w:rsidRPr="00D35637">
        <w:t xml:space="preserve"> Решение о выпуске ценных бумаг/ документ, содержащий условия их размещения, и (или) проспект ценных бумаг, в форме электронных документов или электронных образов (электронных копий документов).</w:t>
      </w:r>
    </w:p>
    <w:p w:rsidR="00FA63B3" w:rsidRPr="00D35637" w:rsidRDefault="00FA63B3" w:rsidP="00FA63B3">
      <w:pPr>
        <w:pStyle w:val="90"/>
        <w:shd w:val="clear" w:color="auto" w:fill="auto"/>
        <w:spacing w:after="0" w:line="274" w:lineRule="exact"/>
        <w:ind w:left="20" w:right="720" w:firstLine="560"/>
        <w:jc w:val="both"/>
      </w:pPr>
    </w:p>
    <w:p w:rsidR="00FA63B3" w:rsidRPr="00D35637" w:rsidRDefault="00FA63B3" w:rsidP="00FA63B3">
      <w:pPr>
        <w:pStyle w:val="90"/>
        <w:shd w:val="clear" w:color="auto" w:fill="auto"/>
        <w:spacing w:after="0" w:line="274" w:lineRule="exact"/>
        <w:ind w:left="20" w:right="720" w:firstLine="560"/>
        <w:jc w:val="both"/>
      </w:pPr>
    </w:p>
    <w:p w:rsidR="00FA63B3" w:rsidRPr="00D35637" w:rsidRDefault="00FA63B3" w:rsidP="00FA63B3">
      <w:pPr>
        <w:pStyle w:val="90"/>
        <w:shd w:val="clear" w:color="auto" w:fill="auto"/>
        <w:spacing w:after="0" w:line="274" w:lineRule="exact"/>
        <w:ind w:left="20" w:right="720" w:firstLine="560"/>
        <w:jc w:val="both"/>
      </w:pPr>
    </w:p>
    <w:p w:rsidR="00FA63B3" w:rsidRPr="00D35637" w:rsidRDefault="00FA63B3" w:rsidP="00FA63B3">
      <w:pPr>
        <w:pStyle w:val="90"/>
        <w:shd w:val="clear" w:color="auto" w:fill="auto"/>
        <w:spacing w:after="0" w:line="274" w:lineRule="exact"/>
        <w:ind w:left="20" w:right="720" w:firstLine="560"/>
        <w:jc w:val="both"/>
      </w:pPr>
      <w:r w:rsidRPr="00D35637">
        <w:t>_________________________/_________________________________________________________/</w:t>
      </w:r>
    </w:p>
    <w:p w:rsidR="00FA63B3" w:rsidRPr="00D35637" w:rsidRDefault="00FA63B3" w:rsidP="00FA63B3">
      <w:pPr>
        <w:pStyle w:val="90"/>
        <w:shd w:val="clear" w:color="auto" w:fill="auto"/>
        <w:spacing w:after="0" w:line="274" w:lineRule="exact"/>
        <w:ind w:left="728" w:right="720" w:firstLine="688"/>
        <w:jc w:val="both"/>
        <w:rPr>
          <w:sz w:val="16"/>
          <w:szCs w:val="16"/>
        </w:rPr>
      </w:pPr>
      <w:r w:rsidRPr="00D35637">
        <w:rPr>
          <w:sz w:val="16"/>
          <w:szCs w:val="16"/>
        </w:rPr>
        <w:t>подпись</w:t>
      </w:r>
      <w:r w:rsidRPr="00D35637">
        <w:rPr>
          <w:sz w:val="16"/>
          <w:szCs w:val="16"/>
        </w:rPr>
        <w:tab/>
      </w:r>
      <w:r w:rsidRPr="00D35637">
        <w:rPr>
          <w:sz w:val="16"/>
          <w:szCs w:val="16"/>
        </w:rPr>
        <w:tab/>
      </w:r>
      <w:r w:rsidRPr="00D35637">
        <w:rPr>
          <w:sz w:val="16"/>
          <w:szCs w:val="16"/>
        </w:rPr>
        <w:tab/>
      </w:r>
      <w:r w:rsidRPr="00D35637">
        <w:rPr>
          <w:sz w:val="16"/>
          <w:szCs w:val="16"/>
        </w:rPr>
        <w:tab/>
      </w:r>
      <w:r w:rsidRPr="00D35637">
        <w:rPr>
          <w:sz w:val="16"/>
          <w:szCs w:val="16"/>
        </w:rPr>
        <w:tab/>
      </w:r>
      <w:r w:rsidRPr="00D35637">
        <w:rPr>
          <w:sz w:val="16"/>
          <w:szCs w:val="16"/>
        </w:rPr>
        <w:tab/>
      </w:r>
      <w:r w:rsidRPr="00D35637">
        <w:rPr>
          <w:sz w:val="16"/>
          <w:szCs w:val="16"/>
        </w:rPr>
        <w:tab/>
        <w:t>расшифровка подписи</w:t>
      </w:r>
    </w:p>
    <w:p w:rsidR="00FA63B3" w:rsidRPr="00D35637" w:rsidRDefault="00FA63B3" w:rsidP="00FA63B3">
      <w:pPr>
        <w:pStyle w:val="90"/>
        <w:shd w:val="clear" w:color="auto" w:fill="auto"/>
        <w:spacing w:after="0" w:line="274" w:lineRule="exact"/>
        <w:ind w:left="20" w:right="720" w:firstLine="560"/>
        <w:jc w:val="both"/>
      </w:pPr>
    </w:p>
    <w:p w:rsidR="00FA63B3" w:rsidRPr="00D35637" w:rsidRDefault="00FA63B3" w:rsidP="00FA63B3">
      <w:pPr>
        <w:pStyle w:val="90"/>
        <w:shd w:val="clear" w:color="auto" w:fill="auto"/>
        <w:spacing w:after="0" w:line="274" w:lineRule="exact"/>
        <w:ind w:left="20" w:right="720" w:firstLine="560"/>
        <w:jc w:val="both"/>
      </w:pPr>
      <w:r w:rsidRPr="00D35637">
        <w:t>«____»______________20___г.</w:t>
      </w:r>
    </w:p>
    <w:p w:rsidR="00FA63B3" w:rsidRPr="00D35637" w:rsidRDefault="00FA63B3" w:rsidP="00FA63B3">
      <w:pPr>
        <w:pStyle w:val="90"/>
        <w:shd w:val="clear" w:color="auto" w:fill="auto"/>
        <w:spacing w:after="240" w:line="274" w:lineRule="exact"/>
        <w:ind w:left="20" w:right="720"/>
        <w:jc w:val="both"/>
      </w:pPr>
    </w:p>
    <w:p w:rsidR="00FA63B3" w:rsidRPr="00D35637" w:rsidRDefault="00FA63B3" w:rsidP="00FA63B3">
      <w:pPr>
        <w:rPr>
          <w:rFonts w:ascii="Times New Roman" w:hAnsi="Times New Roman"/>
          <w:bCs/>
          <w:sz w:val="20"/>
          <w:szCs w:val="20"/>
        </w:rPr>
      </w:pPr>
    </w:p>
    <w:p w:rsidR="00BF0231" w:rsidRDefault="00FA63B3"/>
    <w:sectPr w:rsidR="00BF0231" w:rsidSect="00FA63B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A7902"/>
    <w:multiLevelType w:val="multilevel"/>
    <w:tmpl w:val="1D2A5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4733C1"/>
    <w:multiLevelType w:val="multilevel"/>
    <w:tmpl w:val="85489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4B2EC9"/>
    <w:multiLevelType w:val="multilevel"/>
    <w:tmpl w:val="16AC4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B3"/>
    <w:rsid w:val="00A57405"/>
    <w:rsid w:val="00AF7E5E"/>
    <w:rsid w:val="00FA6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C8701-6AE9-4ADE-9D0C-52BFD41A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3B3"/>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FA63B3"/>
    <w:rPr>
      <w:rFonts w:ascii="Times New Roman" w:eastAsia="Times New Roman" w:hAnsi="Times New Roman" w:cs="Times New Roman"/>
      <w:shd w:val="clear" w:color="auto" w:fill="FFFFFF"/>
    </w:rPr>
  </w:style>
  <w:style w:type="paragraph" w:customStyle="1" w:styleId="4">
    <w:name w:val="Основной текст4"/>
    <w:basedOn w:val="a"/>
    <w:link w:val="a3"/>
    <w:rsid w:val="00FA63B3"/>
    <w:pPr>
      <w:widowControl w:val="0"/>
      <w:shd w:val="clear" w:color="auto" w:fill="FFFFFF"/>
      <w:spacing w:after="60" w:line="0" w:lineRule="atLeast"/>
      <w:jc w:val="center"/>
    </w:pPr>
    <w:rPr>
      <w:rFonts w:ascii="Times New Roman" w:eastAsia="Times New Roman" w:hAnsi="Times New Roman"/>
      <w:sz w:val="22"/>
      <w:szCs w:val="22"/>
    </w:rPr>
  </w:style>
  <w:style w:type="table" w:styleId="a4">
    <w:name w:val="Table Grid"/>
    <w:basedOn w:val="a1"/>
    <w:uiPriority w:val="39"/>
    <w:rsid w:val="00FA63B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pt0pt">
    <w:name w:val="Основной текст + 10 pt;Интервал 0 pt"/>
    <w:basedOn w:val="a3"/>
    <w:rsid w:val="00FA63B3"/>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9pt0pt">
    <w:name w:val="Основной текст + 9 pt;Полужирный;Курсив;Интервал 0 pt"/>
    <w:basedOn w:val="a3"/>
    <w:rsid w:val="00FA63B3"/>
    <w:rPr>
      <w:rFonts w:ascii="Times New Roman" w:eastAsia="Times New Roman" w:hAnsi="Times New Roman" w:cs="Times New Roman"/>
      <w:b/>
      <w:bCs/>
      <w:i/>
      <w:iCs/>
      <w:smallCaps w:val="0"/>
      <w:strike w:val="0"/>
      <w:color w:val="000000"/>
      <w:spacing w:val="2"/>
      <w:w w:val="100"/>
      <w:position w:val="0"/>
      <w:sz w:val="18"/>
      <w:szCs w:val="18"/>
      <w:u w:val="none"/>
      <w:shd w:val="clear" w:color="auto" w:fill="FFFFFF"/>
      <w:lang w:val="ru-RU" w:eastAsia="ru-RU" w:bidi="ru-RU"/>
    </w:rPr>
  </w:style>
  <w:style w:type="character" w:customStyle="1" w:styleId="9">
    <w:name w:val="Основной текст (9)_"/>
    <w:basedOn w:val="a0"/>
    <w:link w:val="90"/>
    <w:rsid w:val="00FA63B3"/>
    <w:rPr>
      <w:rFonts w:ascii="Times New Roman" w:eastAsia="Times New Roman" w:hAnsi="Times New Roman" w:cs="Times New Roman"/>
      <w:spacing w:val="3"/>
      <w:sz w:val="20"/>
      <w:szCs w:val="20"/>
      <w:shd w:val="clear" w:color="auto" w:fill="FFFFFF"/>
    </w:rPr>
  </w:style>
  <w:style w:type="paragraph" w:customStyle="1" w:styleId="90">
    <w:name w:val="Основной текст (9)"/>
    <w:basedOn w:val="a"/>
    <w:link w:val="9"/>
    <w:rsid w:val="00FA63B3"/>
    <w:pPr>
      <w:widowControl w:val="0"/>
      <w:shd w:val="clear" w:color="auto" w:fill="FFFFFF"/>
      <w:spacing w:after="60" w:line="0" w:lineRule="atLeast"/>
      <w:jc w:val="right"/>
    </w:pPr>
    <w:rPr>
      <w:rFonts w:ascii="Times New Roman" w:eastAsia="Times New Roman" w:hAnsi="Times New Roman"/>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Божечкова Ольга Николаевна</dc:creator>
  <cp:keywords/>
  <dc:description/>
  <cp:lastModifiedBy>Божечкова Ольга Николаевна</cp:lastModifiedBy>
  <cp:revision>1</cp:revision>
  <dcterms:created xsi:type="dcterms:W3CDTF">2024-11-13T10:11:00Z</dcterms:created>
  <dcterms:modified xsi:type="dcterms:W3CDTF">2024-11-13T10:11:00Z</dcterms:modified>
</cp:coreProperties>
</file>